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4AA3" w14:textId="361AAC07" w:rsidR="00032F8A" w:rsidRPr="001138F1" w:rsidRDefault="007C1B3B" w:rsidP="00EB1BE3">
      <w:pPr>
        <w:jc w:val="both"/>
        <w:rPr>
          <w:b/>
          <w:bCs/>
        </w:rPr>
      </w:pPr>
      <w:r>
        <w:rPr>
          <w:b/>
          <w:bCs/>
        </w:rPr>
        <w:t xml:space="preserve">Conferimento di incarico professionale / lavoro autonomo per l’attività di </w:t>
      </w:r>
      <w:r w:rsidR="00CB176E">
        <w:rPr>
          <w:b/>
          <w:bCs/>
        </w:rPr>
        <w:t>giornalista o pubblicista per la redazione dei canali informativi</w:t>
      </w:r>
      <w:r w:rsidR="00955D65">
        <w:rPr>
          <w:b/>
          <w:bCs/>
        </w:rPr>
        <w:t xml:space="preserve"> </w:t>
      </w:r>
      <w:r>
        <w:rPr>
          <w:b/>
          <w:bCs/>
        </w:rPr>
        <w:t>dell</w:t>
      </w:r>
      <w:r w:rsidR="00032F8A" w:rsidRPr="001138F1">
        <w:rPr>
          <w:b/>
          <w:bCs/>
        </w:rPr>
        <w:t>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</w:t>
      </w:r>
      <w:proofErr w:type="gramStart"/>
      <w:r w:rsidRPr="001138F1">
        <w:rPr>
          <w:bCs/>
        </w:rPr>
        <w:t>…….</w:t>
      </w:r>
      <w:proofErr w:type="gramEnd"/>
      <w:r w:rsidRPr="001138F1">
        <w:rPr>
          <w:bCs/>
        </w:rPr>
        <w:t>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>l’Ordine degli Architetti Pianificatori, Paesaggisti e Conservatori di Roma e Provincia (C.F. n.  80053110583) in persona del Presidente p.t. che ne ha la rappresentanza legale, arch. ………………</w:t>
      </w:r>
      <w:proofErr w:type="gramStart"/>
      <w:r w:rsidRPr="001138F1">
        <w:t>…….</w:t>
      </w:r>
      <w:proofErr w:type="gramEnd"/>
      <w:r w:rsidRPr="001138F1">
        <w:t>. nato a …………… il ……</w:t>
      </w:r>
      <w:proofErr w:type="gramStart"/>
      <w:r w:rsidRPr="001138F1">
        <w:t>…….</w:t>
      </w:r>
      <w:proofErr w:type="gramEnd"/>
      <w:r w:rsidRPr="001138F1">
        <w:t>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</w:t>
      </w:r>
      <w:proofErr w:type="gramStart"/>
      <w:r w:rsidR="00032F8A" w:rsidRPr="001138F1">
        <w:t>…….</w:t>
      </w:r>
      <w:proofErr w:type="gramEnd"/>
      <w:r w:rsidR="00032F8A" w:rsidRPr="001138F1">
        <w:t>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</w:t>
      </w:r>
      <w:proofErr w:type="gramStart"/>
      <w:r w:rsidR="00032F8A" w:rsidRPr="001138F1">
        <w:t>…….</w:t>
      </w:r>
      <w:proofErr w:type="gramEnd"/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57999987" w14:textId="69D07E9A" w:rsidR="00032F8A" w:rsidRDefault="00032F8A" w:rsidP="00EB1BE3">
      <w:pPr>
        <w:jc w:val="both"/>
        <w:rPr>
          <w:bCs/>
        </w:rPr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</w:t>
      </w:r>
      <w:r w:rsidR="007C1B3B">
        <w:rPr>
          <w:bCs/>
        </w:rPr>
        <w:t>lavoro autonomo per l’attività di</w:t>
      </w:r>
      <w:r w:rsidR="00955D65" w:rsidRPr="00955D65">
        <w:rPr>
          <w:bCs/>
        </w:rPr>
        <w:t xml:space="preserve"> </w:t>
      </w:r>
      <w:r w:rsidR="00CB176E">
        <w:rPr>
          <w:bCs/>
        </w:rPr>
        <w:t>giornalisti o pubblicista per la redazione</w:t>
      </w:r>
      <w:r w:rsidR="00955D65" w:rsidRPr="00955D65">
        <w:rPr>
          <w:bCs/>
        </w:rPr>
        <w:t xml:space="preserve"> dei canali informativi dell’Ordine degli Architetti di Roma</w:t>
      </w:r>
      <w:r>
        <w:rPr>
          <w:bCs/>
        </w:rPr>
        <w:t>.</w:t>
      </w:r>
    </w:p>
    <w:p w14:paraId="3AA3B9C4" w14:textId="3A7CC11D" w:rsidR="00032F8A" w:rsidRDefault="00032F8A" w:rsidP="00EB1BE3">
      <w:pPr>
        <w:jc w:val="both"/>
        <w:rPr>
          <w:bCs/>
          <w:color w:val="000000" w:themeColor="text1"/>
        </w:rPr>
      </w:pPr>
      <w:r w:rsidRPr="001138F1">
        <w:rPr>
          <w:bCs/>
          <w:color w:val="000000" w:themeColor="text1"/>
        </w:rPr>
        <w:t>In particolare, al</w:t>
      </w:r>
      <w:r w:rsidR="007C1B3B">
        <w:rPr>
          <w:bCs/>
          <w:color w:val="000000" w:themeColor="text1"/>
        </w:rPr>
        <w:t xml:space="preserve"> Contraente </w:t>
      </w:r>
      <w:r w:rsidRPr="001138F1">
        <w:rPr>
          <w:bCs/>
          <w:color w:val="000000" w:themeColor="text1"/>
        </w:rPr>
        <w:t>vengono affidate le seguenti attività:</w:t>
      </w:r>
    </w:p>
    <w:p w14:paraId="223ADC72" w14:textId="77777777" w:rsidR="00CB176E" w:rsidRDefault="00CB176E" w:rsidP="00CB176E">
      <w:pPr>
        <w:jc w:val="both"/>
        <w:rPr>
          <w:bCs/>
          <w:color w:val="000000" w:themeColor="text1"/>
        </w:rPr>
      </w:pPr>
    </w:p>
    <w:p w14:paraId="4DD0CA3F" w14:textId="1D460502" w:rsidR="00CB176E" w:rsidRPr="00CB176E" w:rsidRDefault="00CB176E" w:rsidP="00CB176E">
      <w:pPr>
        <w:jc w:val="both"/>
        <w:rPr>
          <w:bCs/>
          <w:color w:val="000000" w:themeColor="text1"/>
        </w:rPr>
      </w:pPr>
      <w:r w:rsidRPr="00CB176E">
        <w:rPr>
          <w:bCs/>
          <w:color w:val="000000" w:themeColor="text1"/>
        </w:rPr>
        <w:t>A titolo esemplificativo e non esaustivo l'incarico consiste nello svolgimento dell'attività di giornalista o pubblicista per la redazione dei canali di informazione dell’OAR, quali, ad esempio:</w:t>
      </w:r>
    </w:p>
    <w:p w14:paraId="3A842166" w14:textId="77777777" w:rsidR="00CB176E" w:rsidRDefault="00CB176E" w:rsidP="00CB176E">
      <w:pPr>
        <w:pStyle w:val="Paragrafoelenco"/>
        <w:numPr>
          <w:ilvl w:val="0"/>
          <w:numId w:val="9"/>
        </w:numPr>
        <w:jc w:val="both"/>
        <w:rPr>
          <w:bCs/>
          <w:color w:val="000000" w:themeColor="text1"/>
        </w:rPr>
      </w:pPr>
      <w:r w:rsidRPr="00CB176E">
        <w:rPr>
          <w:bCs/>
          <w:color w:val="000000" w:themeColor="text1"/>
        </w:rPr>
        <w:t>portale OAR e relative sezioni;</w:t>
      </w:r>
    </w:p>
    <w:p w14:paraId="0E8BF28C" w14:textId="77777777" w:rsidR="00CB176E" w:rsidRDefault="00CB176E" w:rsidP="00CB176E">
      <w:pPr>
        <w:pStyle w:val="Paragrafoelenco"/>
        <w:numPr>
          <w:ilvl w:val="0"/>
          <w:numId w:val="9"/>
        </w:numPr>
        <w:jc w:val="both"/>
        <w:rPr>
          <w:bCs/>
          <w:color w:val="000000" w:themeColor="text1"/>
        </w:rPr>
      </w:pPr>
      <w:r w:rsidRPr="00CB176E">
        <w:rPr>
          <w:bCs/>
          <w:color w:val="000000" w:themeColor="text1"/>
        </w:rPr>
        <w:t>i canali social;</w:t>
      </w:r>
    </w:p>
    <w:p w14:paraId="653BF3BE" w14:textId="77777777" w:rsidR="00CB176E" w:rsidRDefault="00CB176E" w:rsidP="00CB176E">
      <w:pPr>
        <w:pStyle w:val="Paragrafoelenco"/>
        <w:numPr>
          <w:ilvl w:val="0"/>
          <w:numId w:val="9"/>
        </w:numPr>
        <w:jc w:val="both"/>
        <w:rPr>
          <w:bCs/>
          <w:color w:val="000000" w:themeColor="text1"/>
        </w:rPr>
      </w:pPr>
      <w:r w:rsidRPr="00CB176E">
        <w:rPr>
          <w:bCs/>
          <w:color w:val="000000" w:themeColor="text1"/>
        </w:rPr>
        <w:t>la rivista AR Web;</w:t>
      </w:r>
    </w:p>
    <w:p w14:paraId="2BB6E73C" w14:textId="0ED6E5D6" w:rsidR="00CB176E" w:rsidRPr="00CB176E" w:rsidRDefault="00CB176E" w:rsidP="00CB176E">
      <w:pPr>
        <w:pStyle w:val="Paragrafoelenco"/>
        <w:numPr>
          <w:ilvl w:val="0"/>
          <w:numId w:val="9"/>
        </w:numPr>
        <w:jc w:val="both"/>
        <w:rPr>
          <w:bCs/>
          <w:color w:val="000000" w:themeColor="text1"/>
        </w:rPr>
      </w:pPr>
      <w:r w:rsidRPr="00CB176E">
        <w:rPr>
          <w:bCs/>
          <w:color w:val="000000" w:themeColor="text1"/>
        </w:rPr>
        <w:t>la rivista cartacea AR Magazine.</w:t>
      </w:r>
    </w:p>
    <w:p w14:paraId="73FA07C3" w14:textId="7E95BE92" w:rsidR="00955D65" w:rsidRPr="00CB176E" w:rsidRDefault="00955D65" w:rsidP="00CB176E">
      <w:pPr>
        <w:jc w:val="both"/>
        <w:rPr>
          <w:bCs/>
          <w:color w:val="000000" w:themeColor="text1"/>
        </w:rPr>
      </w:pPr>
    </w:p>
    <w:p w14:paraId="4339F43D" w14:textId="77777777" w:rsidR="00955D65" w:rsidRPr="00955D65" w:rsidRDefault="00955D65" w:rsidP="00955D65">
      <w:pPr>
        <w:jc w:val="both"/>
      </w:pPr>
      <w:r w:rsidRPr="00955D65">
        <w:t>Per gli aspetti operativi dell’attività e per le tempistiche di svolgimento l’affidatario farà riferimento al direttore dell’OAR, ai consiglieri e agli uffici dell’OAR.</w:t>
      </w: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CD310A6" w14:textId="6303FA33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CB176E">
        <w:t>4</w:t>
      </w:r>
      <w:r w:rsidRPr="001138F1">
        <w:t xml:space="preserve"> (</w:t>
      </w:r>
      <w:r w:rsidR="00CB176E">
        <w:t>quattro</w:t>
      </w:r>
      <w:r w:rsidRPr="001138F1">
        <w:t>) con decorrenza dalla data di sottoscrizione.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0" w:name="_MON_1338193953"/>
      <w:bookmarkStart w:id="1" w:name="_MON_1344928160"/>
      <w:bookmarkStart w:id="2" w:name="_MON_1344928570"/>
      <w:bookmarkStart w:id="3" w:name="_MON_1344929582"/>
      <w:bookmarkStart w:id="4" w:name="_MON_1344929732"/>
      <w:bookmarkStart w:id="5" w:name="_MON_1345013441"/>
      <w:bookmarkStart w:id="6" w:name="_MON_1345013474"/>
      <w:bookmarkStart w:id="7" w:name="_MON_1356870265"/>
      <w:bookmarkStart w:id="8" w:name="_MON_1356870286"/>
      <w:bookmarkStart w:id="9" w:name="_MON_1357982188"/>
      <w:bookmarkStart w:id="10" w:name="_MON_1357982237"/>
      <w:bookmarkStart w:id="11" w:name="_MON_13579822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lastRenderedPageBreak/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</w:t>
      </w:r>
      <w:proofErr w:type="gramStart"/>
      <w:r w:rsidRPr="001138F1">
        <w:rPr>
          <w:color w:val="000000"/>
        </w:rPr>
        <w:t>…….</w:t>
      </w:r>
      <w:proofErr w:type="gramEnd"/>
      <w:r w:rsidRPr="001138F1">
        <w:rPr>
          <w:color w:val="000000"/>
        </w:rPr>
        <w:t>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 xml:space="preserve"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</w:t>
      </w:r>
      <w:proofErr w:type="spellStart"/>
      <w:r w:rsidRPr="001138F1">
        <w:rPr>
          <w:color w:val="000000"/>
        </w:rPr>
        <w:t>D.Lgs</w:t>
      </w:r>
      <w:proofErr w:type="spellEnd"/>
      <w:r w:rsidRPr="001138F1">
        <w:rPr>
          <w:color w:val="000000"/>
        </w:rPr>
        <w:t xml:space="preserve">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13"/>
    <w:multiLevelType w:val="hybridMultilevel"/>
    <w:tmpl w:val="D9508B8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275983"/>
    <w:multiLevelType w:val="hybridMultilevel"/>
    <w:tmpl w:val="82AC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090279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F543B"/>
    <w:rsid w:val="00500F91"/>
    <w:rsid w:val="00526FFC"/>
    <w:rsid w:val="00552C7B"/>
    <w:rsid w:val="0058625F"/>
    <w:rsid w:val="005B489B"/>
    <w:rsid w:val="005D1520"/>
    <w:rsid w:val="006E55BA"/>
    <w:rsid w:val="0074176E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B176E"/>
    <w:rsid w:val="00CE7FE5"/>
    <w:rsid w:val="00CF3DDE"/>
    <w:rsid w:val="00D146EA"/>
    <w:rsid w:val="00D16C20"/>
    <w:rsid w:val="00D368D4"/>
    <w:rsid w:val="00DC61CF"/>
    <w:rsid w:val="00E25E68"/>
    <w:rsid w:val="00E41F1E"/>
    <w:rsid w:val="00E743B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protocollo</cp:lastModifiedBy>
  <cp:revision>5</cp:revision>
  <dcterms:created xsi:type="dcterms:W3CDTF">2022-03-08T15:16:00Z</dcterms:created>
  <dcterms:modified xsi:type="dcterms:W3CDTF">2022-03-29T12:51:00Z</dcterms:modified>
</cp:coreProperties>
</file>