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C80BC1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C80BC1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C80BC1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80053110583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ORD.ARCH.TTI,PIAN.TORI,PAE.STI E CONSE.TORI DI ROMA E PROV.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Lazio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1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SILVIA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MIARELLI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Direttore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Direzione Ordine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12/03/2019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622"/>
        <w:tblLook w:firstColumn="1" w:firstRow="1" w:lastColumn="0" w:lastRow="0" w:noHBand="0" w:noVBand="1" w:val="04A0"/>
      </w:tblPr>
      <w:tblGrid>
        <w:gridCol w:w="5130"/>
        <w:gridCol w:w="1814"/>
        <w:gridCol w:w="2678"/>
      </w:tblGrid>
      <w:tr w14:paraId="11B5FF67" w14:textId="77777777" w:rsidR="00700CC3" w:rsidRPr="00700CC3" w:rsidTr="008E6701">
        <w:trPr>
          <w:trHeight w:val="288"/>
        </w:trPr>
        <w:tc>
          <w:tcPr>
            <w:tcW w:type="dxa" w:w="5315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1874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2433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1874"/>
            <w:noWrap/>
            <w:hideMark/>
          </w:tcPr>
          <w:p w14:paraId="2722F94C" w14:textId="5D35A27F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1874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1874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CD0A36F" w14:textId="4367EECF" w:rsidP="001C330B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cs="Calibri" w:hAnsi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type="dxa" w:w="1874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1874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1874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1874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1874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>Svolgimento attività successiva cessazione lavoro – pantouflage</w:t>
            </w:r>
          </w:p>
        </w:tc>
        <w:tc>
          <w:tcPr>
            <w:tcW w:type="dxa" w:w="1874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8E6701">
        <w:trPr>
          <w:trHeight w:val="288"/>
        </w:trPr>
        <w:tc>
          <w:tcPr>
            <w:tcW w:type="dxa" w:w="5315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1874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8E6701">
        <w:trPr>
          <w:trHeight w:val="288"/>
        </w:trPr>
        <w:tc>
          <w:tcPr>
            <w:tcW w:type="dxa" w:w="5315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1874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8E6701">
        <w:trPr>
          <w:trHeight w:val="288"/>
        </w:trPr>
        <w:tc>
          <w:tcPr>
            <w:tcW w:type="dxa" w:w="5315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01DBFD87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25289F99" w14:textId="6F49E566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dati inseriti in anagrafe unica delle stazioni appaltanti</w:t>
            </w:r>
          </w:p>
        </w:tc>
        <w:tc>
          <w:tcPr>
            <w:tcW w:type="dxa" w:w="1874"/>
            <w:noWrap/>
          </w:tcPr>
          <w:p w14:paraId="227F7F8F" w14:textId="3C31591B" w:rsidP="00700CC3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04D55A9" w14:textId="77777777" w:rsidP="00700CC3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3C113AE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7EF7F083" w14:textId="188DD5FB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type="dxa" w:w="1874"/>
            <w:noWrap/>
          </w:tcPr>
          <w:p w14:paraId="08D2DB9D" w14:textId="23E480D5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2433"/>
            <w:noWrap/>
          </w:tcPr>
          <w:p w14:paraId="1C3FB9A1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9B57796" w14:textId="77777777" w:rsidR="002D019E" w:rsidRPr="00216077" w:rsidTr="008E6701">
        <w:trPr>
          <w:trHeight w:val="288"/>
        </w:trPr>
        <w:tc>
          <w:tcPr>
            <w:tcW w:type="dxa" w:w="5315"/>
            <w:noWrap/>
          </w:tcPr>
          <w:p w14:paraId="219B253C" w14:textId="088C1933" w:rsidP="002D019E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type="dxa" w:w="1874"/>
            <w:noWrap/>
          </w:tcPr>
          <w:p w14:paraId="57F02AAA" w14:textId="59DFA6CC" w:rsidP="008E6701" w:rsidR="002D019E" w:rsidRDefault="002D019E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C50178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2433"/>
            <w:noWrap/>
          </w:tcPr>
          <w:p w14:paraId="33A19A9E" w14:textId="77777777" w:rsidP="008E6701" w:rsidR="002D019E" w:rsidRDefault="002D019E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  <w:tr w14:paraId="5A4931CD" w14:textId="77777777" w:rsidR="008E6701" w:rsidRPr="00216077" w:rsidTr="008E6701">
        <w:trPr>
          <w:trHeight w:val="288"/>
        </w:trPr>
        <w:tc>
          <w:tcPr>
            <w:tcW w:type="dxa" w:w="5315"/>
            <w:noWrap/>
          </w:tcPr>
          <w:p w14:paraId="30EF60F9" w14:textId="77777777" w:rsidP="002D019E" w:rsidR="008E6701" w:rsidRDefault="008E6701">
            <w:pPr>
              <w:ind w:left="432"/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1874"/>
            <w:noWrap/>
          </w:tcPr>
          <w:p w14:paraId="6A67F8FC" w14:textId="77777777" w:rsidP="008E6701" w:rsidR="008E6701" w:rsidRDefault="008E6701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433"/>
            <w:noWrap/>
          </w:tcPr>
          <w:p w14:paraId="31C7D528" w14:textId="77777777" w:rsidP="008E6701" w:rsidR="008E6701" w:rsidRDefault="008E6701">
            <w:pPr>
              <w:rPr>
                <w:rFonts w:ascii="Calibri" w:cs="Calibri" w:hAnsi="Calibri"/>
                <w:sz w:val="22"/>
                <w:szCs w:val="22"/>
              </w:rPr>
            </w:pP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2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2015 </w:t>
        <w:br/>
        <w:t>Gli atti di incarico e i contratti, non sono stati adeguati alle previsioni del Codice di Comportamento adottato.</w:t>
        <w:br/>
        <w:t>Sono state adottate misure che garantiscono l'attuazione del Codice di Comportamento .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è previsto un sistema di sostituzioni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lastRenderedPageBreak/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 xml:space="preserve">Le misure in materia di conflitto di interessi non sono state programmate nel PTPCT o nella sezione Anticorruzione e Trasparenza del PIAO in esame o, laddove siano state già adottate negli anni precedenti, non si prevede di realizzare interventi correttivi o ad esse collegati, per le seguenti motivazioni: </w:t>
        <w:br/>
        <w:t>Considerata la natura peculiare dell’Ordine, non pienamente riconducibile alle categorie di cui all’art. 1, c. 2, del decreto, il documento prevede l’acquisizione di dichiarazioni sostitutive dei membri degli organi e del RPCT sull’assenza di condanne per i reati contro la PA. In caso di condizioni ostative, si applicheranno le misure di legge.</w:t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/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 xml:space="preserve">La misura “Formazione”, pur essendo stata programmata nel PTPCT o nella sezione Anticorruzione e Trasparenza del PIAO di riferimento, non è stata ancora attuata. in particolare: </w:t>
        <w:br/>
        <w:t>Non sono state ancora avviate le attività e non saranno avviate nei tempi previsti dal PTPCT o dalla sezione Anticorruzione e Trasparenza del PIAO per le seguenti motivazioni:</w:t>
        <w:br/>
        <w:t xml:space="preserve">  - carenza di risorse finanziarie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/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lastRenderedPageBreak/>
        <w:t>L'amministrazione non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non è stata adottata e pubblicata sul sito istituzionale per le seguenti motivazioni: ricomprese nel regolamento di accesso agli atti pubblicato.</w:t>
        <w:br/>
        <w:t>Nell’anno di riferimento del PTPCT o della sezione Anticorruzione e Trasparenza del PIAO non sono pervenute richieste di accesso civico “generalizzato".</w:t>
        <w:br/>
        <w:t xml:space="preserve">Non è stato istituito il registro degli accessi. </w:t>
        <w:br/>
        <w:t/>
        <w:br/>
        <w:t>In merito al livello di adempimento degli obblighi di trasparenza, si formula il seguente giudizio: mancanza di risorse economiche, troppi adempimenti per un ente piccolo e con procedure standardizzate, mancanza di interoperabilità con le piattaforme nazionali che hanno già in loro possesso tutti i dati richiesti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r>
        <w:t>Pantouflage</w:t>
      </w:r>
      <w:bookmarkEnd w:id="14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  <w:br/>
        <w:t xml:space="preserve">Non sono state ancora avviate le attività e non saranno avviate nei tempi previsti dal PTPCT o dalla sezione Anticorruzione e Trasparenza del PIAO per le seguenti motivazioni: </w:t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sezione non presente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sezione non presente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negativo sul funzionamento dell'amministrazione (es. in termini di semplificazione/snellimento delle procedure)</w:t>
        <w:br/>
        <w:t xml:space="preserve">  - neutrale sulla diffusione della cultura della legalità</w:t>
        <w:br/>
        <w:t xml:space="preserve">  - neutrale sulle relazioni con i cittadini</w:t>
        <w:br/>
        <w:t xml:space="preserve">  - neutrale su nulla all'attenzione</w:t>
      </w:r>
    </w:p>
    <w:p w14:paraId="6C88A099" w14:textId="1949A445" w:rsidP="00A82AEF" w:rsidR="00B96D6A" w:rsidRDefault="000C2AE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o nella sezione Anticorruzione e Trasparenza del PIAOi n esame non sono state programmate misure specifiche. Le ragioni alla base della mancata programmazione delle misure specifiche sono di seguito riportate:  Ordine professionale, ente di dimensioni contenute con funzioni prevalentemente istituzionali e processi amministrativi limitati e standardizzati. I rischi risultano adeguatamente presidiati dalle misure generali già adottate, dalla normativa di settore e dai controlli interni, non rendendo necessarie ulteriori misure.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consapevolezza del fenomeno corruttivo, già adeguata in ragione delle dimensioni dell’Ordine, della limitata esposizione al rischio e della natura istituzionale delle attività svolte. Le misure adottate hanno avuto funzione di conferma e sistematizzazione di prassi già consolidate.</w:t>
        <w:br/>
        <w:t xml:space="preserve">  - la capacità di individuare e far emergere situazioni di rischio corruttivo e di intervenire con adeguati rimedi  è rimasta invariata in ragione di consapevolezza del fenomeno corruttivo, già adeguata in ragione delle dimensioni dell’Ordine, della limitata esposizione al rischio e della natura istituzionale delle attività svolte. Le misure adottate hanno avuto funzione di conferma e sistematizzazione di prassi già consolidate.</w:t>
        <w:br/>
        <w:t xml:space="preserve">  - la reputazione dell'ente  è rimasta invariata in ragione di consapevolezza del fenomeno corruttivo, già adeguata in ragione delle dimensioni dell’Ordine, della limitata esposizione al rischio e della natura istituzionale delle attività svolte. Le misure adottate hanno avuto funzione di conferma e sistematizzazione di prassi già consolidate.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dimensioni dell’Ordine, della limitata esposizione al rischio e della natura istituzionale delle attività svolte. Le misure adottate hanno avuto funzione di conferma e sistematizzazione di prassi già consolidate.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ragioni:dimensioni dell’Ordine, della limitata esposizione al rischio e della natura istituzionale delle attività svolte. Le misure adottate hanno avuto funzione di conferma e sistematizzazione di prassi già consolidate.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lastRenderedPageBreak/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933C1" w14:textId="77777777" w:rsidR="00D64423" w:rsidRDefault="00D64423" w:rsidP="00424EBB">
      <w:r>
        <w:separator/>
      </w:r>
    </w:p>
  </w:endnote>
  <w:endnote w:type="continuationSeparator" w:id="0">
    <w:p w14:paraId="2A12EEA0" w14:textId="77777777" w:rsidR="00D64423" w:rsidRDefault="00D64423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footnote w:id="-1" w:type="separator">
    <w:p w14:paraId="4476728A" w14:textId="77777777" w:rsidP="00424EBB" w:rsidR="00D64423" w:rsidRDefault="00D64423">
      <w:r>
        <w:separator/>
      </w:r>
    </w:p>
  </w:footnote>
  <w:footnote w:id="0" w:type="continuationSeparator">
    <w:p w14:paraId="31ECCB1F" w14:textId="77777777" w:rsidP="00424EBB" w:rsidR="00D64423" w:rsidRDefault="00D64423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1288</Words>
  <Characters>7346</Characters>
  <Application>Microsoft Office Word</Application>
  <DocSecurity>0</DocSecurity>
  <Lines>61</Lines>
  <Paragraphs>17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2024-01-04T09:52:00Z</dcterms:created>
  <dc:creator>Utente di Microsoft Office</dc:creator>
  <cp:lastModifiedBy>Lanza Giuseppe</cp:lastModifiedBy>
  <cp:lastPrinted>2019-09-03T12:09:00Z</cp:lastPrinted>
  <dcterms:modified xsi:type="dcterms:W3CDTF">2025-12-05T14:02:00Z</dcterms:modified>
  <cp:revision>5</cp:revision>
</cp:coreProperties>
</file>